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Kramfors kommunfullmäktige</w:t>
      </w:r>
    </w:p>
    <w:p>
      <w:pPr>
        <w:pStyle w:val="Heading1"/>
      </w:pPr>
      <w:r>
        <w:t xml:space="preserve">Stärkt stöd till skolor i Nyland och Bollstabruk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Kramfors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Skolorna i Nyland och Bollstabruk har lägre meritvärden än kommunsnittet (195 respektive 205, Kolada 2025). Elever i dessa områden behöver mer riktat stöd för att nå likvärdighet.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Kramfors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tilldela Nylandsskolan och Bollstaskolan vardera 1,2 mnkr extra för fler speciallärare och elevassistenter läsåret 2027/28.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läxhjälp och lägerverksamhet under lov för elever i årskurs 4–9 i dessa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 barn- och utbildningsnämnden i uppdrag att följa upp meritvärden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likvärdig skola i budgetfördelningen.</w:t>
      </w:r>
    </w:p>
    <w:p>
      <w:pPr>
        <w:spacing w:before="360"/>
      </w:pPr>
    </w:p>
    <w:p>
      <w:r>
        <w:t xml:space="preserve">Kramfors,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Kramfors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2026-07-14T00:28:55.421Z</dcterms:created>
  <dcterms:modified xsi:type="dcterms:W3CDTF">2026-07-14T00:28:55.421Z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